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НОЙ ПРАКТИКИ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СУДЕ ОБЩЕЙ ЮРИСДИКЦИИ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УЧЕБнАЯ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ОЗНАКОМ</w:t>
      </w:r>
      <w:r>
        <w:rPr>
          <w:rFonts w:cs="Times New Roman" w:ascii="Times New Roman" w:hAnsi="Times New Roman"/>
          <w:b/>
          <w:sz w:val="32"/>
          <w:szCs w:val="32"/>
        </w:rPr>
        <w:t>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widowControl w:val="false"/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Б2.О.02(У)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>
          <w:trHeight w:val="118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>
          <w:trHeight w:val="91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40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86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52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Рабочая программа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учебн</w:t>
      </w:r>
      <w:r>
        <w:rPr>
          <w:rFonts w:cs="Times New Roman" w:ascii="Times New Roman" w:hAnsi="Times New Roman"/>
          <w:sz w:val="28"/>
          <w:szCs w:val="28"/>
        </w:rPr>
        <w:t>ой практики в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общей юрисдикции «Учебная практика: </w:t>
      </w:r>
      <w:r>
        <w:rPr>
          <w:rFonts w:cs="Times New Roman" w:ascii="Times New Roman" w:hAnsi="Times New Roman"/>
          <w:color w:val="000000"/>
          <w:sz w:val="28"/>
          <w:szCs w:val="28"/>
        </w:rPr>
        <w:t>ознаком</w:t>
      </w:r>
      <w:r>
        <w:rPr>
          <w:rFonts w:cs="Times New Roman" w:ascii="Times New Roman" w:hAnsi="Times New Roman"/>
          <w:color w:val="000000"/>
          <w:sz w:val="28"/>
          <w:szCs w:val="28"/>
        </w:rPr>
        <w:t>ительная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ной практики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Целями </w:t>
      </w:r>
      <w:r>
        <w:rPr>
          <w:rFonts w:eastAsia="Calibri" w:cs="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b/>
          <w:sz w:val="26"/>
          <w:szCs w:val="26"/>
        </w:rPr>
        <w:t xml:space="preserve">ной практики: </w:t>
      </w:r>
      <w:r>
        <w:rPr>
          <w:rFonts w:ascii="Times New Roman" w:hAnsi="Times New Roman"/>
          <w:b/>
          <w:sz w:val="26"/>
          <w:szCs w:val="26"/>
        </w:rPr>
        <w:t>ознакоми</w:t>
      </w:r>
      <w:r>
        <w:rPr>
          <w:rFonts w:ascii="Times New Roman" w:hAnsi="Times New Roman"/>
          <w:b/>
          <w:sz w:val="26"/>
          <w:szCs w:val="26"/>
        </w:rPr>
        <w:t>тельной практики</w:t>
      </w:r>
      <w:r>
        <w:rPr>
          <w:rFonts w:ascii="Times New Roman" w:hAnsi="Times New Roman"/>
          <w:sz w:val="26"/>
          <w:szCs w:val="26"/>
        </w:rPr>
        <w:t xml:space="preserve"> 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 общей юрисдикции.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Cs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у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чебн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ой практики: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ознаком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ительной практики  в структуре ОПОП ВО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eastAsia="MS Mincho" w:cs="Times New Roman" w:ascii="Times New Roman" w:hAnsi="Times New Roman"/>
          <w:color w:val="000000"/>
          <w:sz w:val="28"/>
          <w:szCs w:val="28"/>
          <w:lang w:eastAsia="ru-RU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практика: </w:t>
      </w:r>
      <w:r>
        <w:rPr>
          <w:rFonts w:eastAsia="MS Mincho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ознаком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ительная практика </w:t>
      </w:r>
      <w:r>
        <w:rPr>
          <w:rFonts w:ascii="Times New Roman" w:hAnsi="Times New Roman"/>
          <w:sz w:val="26"/>
          <w:szCs w:val="26"/>
        </w:rPr>
        <w:t>» относится к Блоку 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по получению профессиональных умений и опыта профессиональной деятельности в суде общей юрисдикции базируется на предварительном освоении таких учебных дисциплин (модулей), как  </w:t>
      </w:r>
      <w:r>
        <w:rPr>
          <w:rFonts w:ascii="Times New Roman" w:hAnsi="Times New Roman"/>
          <w:color w:val="000000"/>
          <w:sz w:val="26"/>
          <w:szCs w:val="26"/>
        </w:rPr>
        <w:t>«Гражданский процесс»</w:t>
      </w:r>
      <w:r>
        <w:rPr>
          <w:rFonts w:ascii="Times New Roman" w:hAnsi="Times New Roman"/>
          <w:sz w:val="26"/>
          <w:szCs w:val="26"/>
        </w:rPr>
        <w:t xml:space="preserve">, «Гражданское право (Общая часть)» ,  «Гражданское право (Особенная часть)», в то же время, « 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Учебная</w:t>
      </w:r>
      <w:r>
        <w:rPr>
          <w:rFonts w:ascii="Times New Roman" w:hAnsi="Times New Roman"/>
          <w:color w:val="000000"/>
          <w:sz w:val="26"/>
          <w:szCs w:val="26"/>
        </w:rPr>
        <w:t xml:space="preserve">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 является базой для изучения таких учебных дисциплин (модулей), как «Арбитражный процесс», «Трудовые споры», «Практикум по исполнительному производству», «Практикум по страховому праву». 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</w:t>
      </w:r>
      <w:bookmarkStart w:id="0" w:name="__DdeLink__42292_4213209153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ru-RU" w:bidi="ar-SA"/>
        </w:rPr>
        <w:t>учеб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ной практики: </w:t>
      </w:r>
      <w:r>
        <w:rPr>
          <w:rFonts w:eastAsia="Calibri" w:cs="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ознаком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ительной практик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в суд общей юрисдикции, должен обладать знаниями об организации системы судов общей юрисдикции.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практики по получению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судов общей юрисдикции.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прохождения «</w:t>
      </w:r>
      <w:r>
        <w:rPr>
          <w:rFonts w:cs="Times New Roman" w:ascii="Times New Roman" w:hAnsi="Times New Roman"/>
          <w:color w:val="000000"/>
          <w:sz w:val="26"/>
          <w:szCs w:val="26"/>
        </w:rPr>
        <w:t>Учебной практики: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ознакомит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ельно</w:t>
      </w:r>
      <w:r>
        <w:rPr>
          <w:rFonts w:cs="Times New Roman" w:ascii="Times New Roman" w:hAnsi="Times New Roman"/>
          <w:color w:val="000000"/>
          <w:sz w:val="26"/>
          <w:szCs w:val="26"/>
        </w:rPr>
        <w:t>й практики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УК-1.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УК-6.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Общеп</w:t>
      </w: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рофессиональные компетенции: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ОПК-1. Способен анализировать основные закономерности формирования, функционирования и развития права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zh-CN"/>
        </w:rPr>
        <w:t xml:space="preserve">ПК-4. </w:t>
      </w:r>
      <w:bookmarkStart w:id="1" w:name="_GoBack1"/>
      <w:bookmarkEnd w:id="1"/>
      <w:r>
        <w:rPr>
          <w:rFonts w:cs="Times New Roman" w:ascii="Times New Roman" w:hAnsi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6"/>
        <w:gridCol w:w="2640"/>
        <w:gridCol w:w="3980"/>
      </w:tblGrid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66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Учебная практика: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ознакоми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УК-1.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hanging="0"/>
              <w:jc w:val="both"/>
              <w:rPr>
                <w:rFonts w:eastAsia="TimesNewRomanPS-BoldMT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NewRomanPS-BoldMT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ОПК-1.</w:t>
            </w:r>
            <w:r>
              <w:rPr>
                <w:rFonts w:eastAsia="TimesNewRomanPS-BoldMT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Способен анализировать основные закономерности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ПК-4.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bookmarkStart w:id="2" w:name="_GoBack11"/>
            <w:bookmarkEnd w:id="2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</w:tc>
        <w:tc>
          <w:tcPr>
            <w:tcW w:w="398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ИУК-1.1.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ИУК-1.2.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 xml:space="preserve">ИУК-1.3.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ИУК-1.4.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ИУК-1.5.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ИУК-3.2.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ИУК-3.3.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ИУК-3.4.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ИУК-3.5.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ИУК-6.2.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ИУК-6.3.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ИУК-6.4.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ИУК-6.5.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ИОПК-1.1.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 xml:space="preserve">ИОПК-1.2.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Имеет сформированное представление о закономерностях и исторических этапах развития права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ИОПК-1.3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.Формирует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</w:rPr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 xml:space="preserve">ИПК-4.1.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ИПК-4.2.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</w:rPr>
              <w:t>ИПК-4.3.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ИПК-4.4.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Знает и применяет правила оформления правового заключения и письменной консультации.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</w:rPr>
              <w:t>ИПК-4.5.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>СТРУКТУРА И СОДЕРЖАНИЕ ПРОИЗВОДСТВЕННОЙ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« </w:t>
      </w:r>
      <w:r>
        <w:rPr>
          <w:rFonts w:eastAsia="MS Mincho" w:cs="Times New Roman" w:ascii="Times New Roman" w:hAnsi="Times New Roman"/>
          <w:color w:val="000000"/>
          <w:sz w:val="28"/>
          <w:szCs w:val="28"/>
          <w:lang w:eastAsia="ru-RU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практика: </w:t>
      </w:r>
      <w:r>
        <w:rPr>
          <w:rFonts w:eastAsia="MS Mincho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ознаком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ительная практика» составляет 3 з.е., 108 академических часа. Форма промежуточной аттестации– зачет.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суде общей юрисдикции для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55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427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суде общей юрисдикции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="" w:eastAsiaTheme="majorEastAsia"/>
          <w:sz w:val="26"/>
          <w:szCs w:val="26"/>
        </w:rPr>
        <w:t>2.3.Структура и содержание практики в суде общей юрисдикции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0758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</w:t>
            </w:r>
            <w:r>
              <w:rPr>
                <w:rStyle w:val="FontStyle15"/>
                <w:b w:val="false"/>
                <w:sz w:val="26"/>
                <w:szCs w:val="26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должен ознакомиться с содержанием рабочей программы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sz w:val="26"/>
          <w:szCs w:val="26"/>
        </w:rPr>
        <w:t xml:space="preserve">ной практики в </w:t>
      </w:r>
      <w:r>
        <w:rPr>
          <w:rFonts w:ascii="Times New Roman" w:hAnsi="Times New Roman"/>
          <w:sz w:val="26"/>
          <w:szCs w:val="26"/>
          <w:lang w:eastAsia="ru-RU"/>
        </w:rPr>
        <w:t>суде общей юрисдикции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cs="Times New Roman" w:ascii="Times New Roman" w:hAnsi="Times New Roman"/>
          <w:color w:val="000000"/>
          <w:sz w:val="28"/>
          <w:szCs w:val="28"/>
        </w:rPr>
        <w:t>Учебная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 xml:space="preserve"> практика: </w:t>
      </w:r>
      <w:r>
        <w:rPr>
          <w:rFonts w:eastAsia="MS Mincho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ознаком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ительная практика</w:t>
      </w:r>
      <w:r>
        <w:rPr>
          <w:rFonts w:ascii="Times New Roman" w:hAnsi="Times New Roman"/>
          <w:sz w:val="26"/>
          <w:szCs w:val="26"/>
        </w:rPr>
        <w:t xml:space="preserve">», а также пройти собеседование с руководителем практики от Университета, о чем делается отметка в дневнике прохождения практики.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</w:t>
      </w:r>
      <w:r>
        <w:rPr>
          <w:rFonts w:eastAsia="Calibri" w:cs="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ascii="Times New Roman" w:hAnsi="Times New Roman"/>
          <w:sz w:val="26"/>
          <w:szCs w:val="26"/>
        </w:rPr>
        <w:t xml:space="preserve">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680"/>
        <w:rPr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Style35"/>
        <w:spacing w:lineRule="auto" w:line="240" w:before="0" w:after="0"/>
        <w:ind w:firstLine="680"/>
        <w:rPr/>
      </w:pPr>
      <w:r>
        <w:rPr>
          <w:rStyle w:val="FontStyle15"/>
          <w:b w:val="false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 xml:space="preserve">в суде общей юрисдикции </w:t>
      </w:r>
      <w:r>
        <w:rPr>
          <w:rFonts w:ascii="Times New Roman" w:hAnsi="Times New Roman"/>
          <w:bCs/>
          <w:iCs/>
          <w:sz w:val="26"/>
          <w:szCs w:val="26"/>
        </w:rPr>
        <w:t xml:space="preserve">студент должен: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организацией, ведением архива и подготовкой дел к хранению в архиве;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  <w:softHyphen/>
        <w:t>мо сделать в порядке подготовки дела к судебному разбирательству;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дела, относящиеся к разным видам гражданского судопроизводства;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изучить апелляционное производство и его особенности;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  <w:softHyphen/>
        <w:t>станции при рассмотрении апелляционных, частных жалоб и представлений;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прохождении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учеб</w:t>
      </w:r>
      <w:r>
        <w:rPr>
          <w:rFonts w:cs="Times New Roman" w:ascii="Times New Roman" w:hAnsi="Times New Roman"/>
          <w:sz w:val="26"/>
          <w:szCs w:val="26"/>
        </w:rPr>
        <w:t xml:space="preserve">ной практики у мирового судьи студент должен изучить особенности рассмотрения гражданских дел, подсудных мировому судье.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>
      <w:pPr>
        <w:pStyle w:val="Default"/>
        <w:widowControl w:val="false"/>
        <w:numPr>
          <w:ilvl w:val="0"/>
          <w:numId w:val="0"/>
        </w:numPr>
        <w:ind w:left="0" w:firstLine="680"/>
        <w:jc w:val="both"/>
        <w:outlineLvl w:val="0"/>
        <w:rPr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ind w:firstLine="680"/>
        <w:jc w:val="center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680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</w:t>
      </w:r>
      <w:r>
        <w:rPr>
          <w:rFonts w:cs="Times New Roman" w:ascii="Times New Roman" w:hAnsi="Times New Roman"/>
          <w:color w:val="000000"/>
          <w:sz w:val="26"/>
          <w:szCs w:val="28"/>
        </w:rPr>
        <w:t>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6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</w:r>
      <w:r>
        <w:rPr>
          <w:rStyle w:val="FontStyle12"/>
          <w:sz w:val="26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6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6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исковое заявление, заявление по делам особого производства и по административным делам;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о возбуждении дела и подготовке его к судебному раз</w:t>
        <w:softHyphen/>
        <w:t xml:space="preserve">бирательству;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протокол судебного заседания;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решения по исковому делу, по делу особого производства и по административному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об отказе в принятии заявле</w:t>
        <w:softHyphen/>
        <w:t>ния, оставлении иска (заявления) без рассмотрения, прекраще</w:t>
        <w:softHyphen/>
        <w:t xml:space="preserve">нии производства по делу и приостановлении производства по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определения об обеспечении иска;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заочного решения;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судебного приказа;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жалобы на решение либо определение суда первой инстан</w:t>
        <w:softHyphen/>
        <w:t xml:space="preserve">ции, которое он считает незаконным и необоснованным;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апелляционной, кассационной, надзорной жалобы;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частного определения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решения, вынесенного в порядке упрощенного производства.</w:t>
      </w:r>
    </w:p>
    <w:p>
      <w:pPr>
        <w:pStyle w:val="ListParagraph"/>
        <w:spacing w:lineRule="auto" w:line="240" w:before="0" w:after="0"/>
        <w:ind w:left="680" w:hanging="0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ListParagraph"/>
        <w:spacing w:lineRule="auto" w:line="240" w:before="0" w:after="0"/>
        <w:ind w:left="0" w:firstLine="6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numPr>
          <w:ilvl w:val="0"/>
          <w:numId w:val="0"/>
        </w:numPr>
        <w:tabs>
          <w:tab w:val="clear" w:pos="408"/>
          <w:tab w:val="left" w:pos="562" w:leader="none"/>
        </w:tabs>
        <w:spacing w:lineRule="auto" w:line="240" w:before="0" w:after="0"/>
        <w:ind w:left="0" w:firstLine="680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2.4. </w:t>
        <w:tab/>
        <w:t>Самостоятельная работа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- Виды самостоятельной работы: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решение практических ситуаций;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поиск, изучение и обобщение судебной практики по отдельным вопросам курса;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рефератов;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электронных презентаций;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дискуссий;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составление проектов процессуальных документов.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381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- Модель (особенности) самостоятельной работы студентов по отдельным разделам и темам курса для очной формы обучения состоят в следующем.</w:t>
      </w:r>
    </w:p>
    <w:p>
      <w:pPr>
        <w:pStyle w:val="9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sz w:val="26"/>
          <w:szCs w:val="28"/>
        </w:rPr>
        <w:t>УЧЕБ</w:t>
      </w:r>
      <w:r>
        <w:rPr>
          <w:rFonts w:cs="Times New Roman" w:ascii="Times New Roman" w:hAnsi="Times New Roman"/>
          <w:b/>
          <w:sz w:val="28"/>
          <w:szCs w:val="28"/>
        </w:rPr>
        <w:t>НОЙ ПРАКТИКИ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4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bookmarkStart w:id="3" w:name="_Toc529538718"/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  <w:t>3.1. Контрольные вопросы для проведения промежуточной аттестации по итогам освоения дисциплины</w:t>
      </w:r>
      <w:bookmarkEnd w:id="3"/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Контрольные вопросы для аттестации по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8"/>
          <w:lang w:val="ru-RU" w:eastAsia="en-US" w:bidi="ar-SA"/>
        </w:rPr>
        <w:t>учеб</w:t>
      </w:r>
      <w:r>
        <w:rPr>
          <w:rFonts w:cs="Times New Roman" w:ascii="Times New Roman" w:hAnsi="Times New Roman"/>
          <w:b/>
          <w:sz w:val="26"/>
          <w:szCs w:val="28"/>
        </w:rPr>
        <w:t>ной практике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>
      <w:pPr>
        <w:pStyle w:val="Normal"/>
        <w:suppressAutoHyphens w:val="true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 </w:t>
      </w:r>
      <w:r>
        <w:rPr>
          <w:rFonts w:cs="Times New Roman" w:ascii="Times New Roman" w:hAnsi="Times New Roman"/>
          <w:b/>
          <w:sz w:val="26"/>
          <w:szCs w:val="28"/>
        </w:rPr>
        <w:t xml:space="preserve">Примеры индивидуальных заданий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 № 1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bottomFromText="0" w:horzAnchor="margin" w:leftFromText="180" w:rightFromText="180" w:tblpX="0" w:tblpXSpec="center" w:tblpY="334" w:topFromText="0" w:vertAnchor="text"/>
        <w:tblW w:w="94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45"/>
        <w:gridCol w:w="1195"/>
        <w:gridCol w:w="1338"/>
        <w:gridCol w:w="1160"/>
        <w:gridCol w:w="1261"/>
        <w:gridCol w:w="1387"/>
        <w:gridCol w:w="1510"/>
      </w:tblGrid>
      <w:tr>
        <w:trPr>
          <w:trHeight w:val="141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Семейные споры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Жилищные споры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Трудовые споры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Земельные споры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Споры о возмещении вреда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Защита прав потребителей</w:t>
            </w:r>
          </w:p>
        </w:tc>
      </w:tr>
      <w:tr>
        <w:trPr>
          <w:trHeight w:val="97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удовлетворены / удовлетворены частично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87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оставлены без удовлетворения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6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рассмотрения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7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Производство по делу прекращено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Отказано в принятии искового заявления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движения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возвращено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Вынесено заочное решение по делу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Решение вынесено в порядке упрощенного производства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Задание № 2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Заполнить таблицу: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26"/>
        <w:gridCol w:w="2836"/>
        <w:gridCol w:w="2694"/>
      </w:tblGrid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Критерий</w:t>
            </w:r>
          </w:p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ГПК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КАС РФ</w:t>
            </w:r>
          </w:p>
        </w:tc>
      </w:tr>
      <w:tr>
        <w:trPr>
          <w:trHeight w:val="47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4" w:name="dst100720"/>
            <w:bookmarkStart w:id="5" w:name="dst100721"/>
            <w:bookmarkStart w:id="6" w:name="dst100720"/>
            <w:bookmarkStart w:id="7" w:name="dst100721"/>
            <w:bookmarkEnd w:id="6"/>
            <w:bookmarkEnd w:id="7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53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8" w:name="dst92"/>
            <w:bookmarkStart w:id="9" w:name="dst93"/>
            <w:bookmarkStart w:id="10" w:name="dst92"/>
            <w:bookmarkStart w:id="11" w:name="dst93"/>
            <w:bookmarkEnd w:id="10"/>
            <w:bookmarkEnd w:id="11"/>
          </w:p>
        </w:tc>
      </w:tr>
      <w:tr>
        <w:trPr>
          <w:trHeight w:val="51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8"/>
              </w:rPr>
              <w:t>Лица, участвующие в деле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Сроки рассмотрения и разрешения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Рассмотрение дела по существу (объяснения лиц, участвующих в деле, порядок допроса, исследование доказательств)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927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Окончание рассмотрения дела по существу (судебные прения)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 xml:space="preserve">Порядок вынесения решения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</w:tbl>
    <w:p>
      <w:pPr>
        <w:pStyle w:val="16"/>
        <w:spacing w:lineRule="auto" w:line="240"/>
        <w:ind w:left="1429" w:hanging="0"/>
        <w:rPr>
          <w:rStyle w:val="1"/>
          <w:rFonts w:eastAsia="Calibri"/>
          <w:i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b/>
          <w:sz w:val="26"/>
          <w:szCs w:val="26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 Нормативные правовые акты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ind w:firstLine="709"/>
        <w:jc w:val="both"/>
        <w:rPr>
          <w:rStyle w:val="1"/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 Основная литература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2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iCs/>
          <w:sz w:val="26"/>
          <w:szCs w:val="26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4" w:tgtFrame="_blank">
        <w:r>
          <w:rPr>
            <w:rFonts w:cs="Times New Roman" w:ascii="Times New Roman" w:hAnsi="Times New Roman"/>
            <w:sz w:val="26"/>
            <w:szCs w:val="26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6"/>
          <w:szCs w:val="26"/>
          <w:shd w:fill="FFFFFF" w:val="clear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5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Дополнительная литература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iCs/>
          <w:sz w:val="26"/>
          <w:szCs w:val="26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6"/>
          <w:szCs w:val="26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9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03"/>
        <w:gridCol w:w="1953"/>
        <w:gridCol w:w="1308"/>
        <w:gridCol w:w="3337"/>
        <w:gridCol w:w="2171"/>
      </w:tblGrid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5"/>
        <w:gridCol w:w="2396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2"/>
        <w:gridCol w:w="2893"/>
        <w:gridCol w:w="3038"/>
        <w:gridCol w:w="2154"/>
        <w:gridCol w:w="225"/>
      </w:tblGrid>
      <w:tr>
        <w:trPr>
          <w:trHeight w:val="809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6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6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5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bookmarkStart w:id="12" w:name="_GoBack"/>
      <w:bookmarkEnd w:id="12"/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sectPr>
      <w:footerReference w:type="default" r:id="rId27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38" w:hanging="180"/>
      </w:pPr>
    </w:lvl>
  </w:abstractNum>
  <w:abstractNum w:abstractNumId="9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Style26" w:customStyle="1">
    <w:name w:val="Текст выноски Знак"/>
    <w:basedOn w:val="DefaultParagraphFont"/>
    <w:link w:val="af9"/>
    <w:uiPriority w:val="99"/>
    <w:semiHidden/>
    <w:qFormat/>
    <w:rsid w:val="009e5a00"/>
    <w:rPr>
      <w:rFonts w:ascii="Segoe UI" w:hAnsi="Segoe UI" w:eastAsia="Calibri" w:cs="Segoe UI"/>
      <w:sz w:val="18"/>
      <w:szCs w:val="18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rsid w:val="00455c77"/>
    <w:pPr>
      <w:spacing w:before="0" w:after="140"/>
    </w:pPr>
    <w:rPr/>
  </w:style>
  <w:style w:type="paragraph" w:styleId="Style29">
    <w:name w:val="List"/>
    <w:basedOn w:val="Style28"/>
    <w:rsid w:val="00455c77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28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c7649"/>
    <w:pPr>
      <w:spacing w:before="0" w:after="200"/>
      <w:ind w:left="720" w:hanging="0"/>
      <w:contextualSpacing/>
    </w:pPr>
    <w:rPr/>
  </w:style>
  <w:style w:type="paragraph" w:styleId="Style32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2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455c77"/>
    <w:pPr>
      <w:spacing w:before="100" w:after="100"/>
    </w:pPr>
    <w:rPr>
      <w:sz w:val="24"/>
      <w:szCs w:val="24"/>
    </w:rPr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3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455c77"/>
    <w:pPr>
      <w:jc w:val="center"/>
    </w:pPr>
    <w:rPr>
      <w:b/>
      <w:bCs/>
    </w:rPr>
  </w:style>
  <w:style w:type="paragraph" w:styleId="Style35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fa"/>
    <w:uiPriority w:val="99"/>
    <w:semiHidden/>
    <w:unhideWhenUsed/>
    <w:qFormat/>
    <w:rsid w:val="009e5a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6" w:customStyle="1">
    <w:name w:val="Содержимое врезки"/>
    <w:basedOn w:val="Normal"/>
    <w:qFormat/>
    <w:rsid w:val="00033722"/>
    <w:pPr/>
    <w:rPr/>
  </w:style>
  <w:style w:type="paragraph" w:styleId="Style37">
    <w:name w:val="Верхний и нижний колонтитулы"/>
    <w:basedOn w:val="Normal"/>
    <w:qFormat/>
    <w:pPr/>
    <w:rPr/>
  </w:style>
  <w:style w:type="paragraph" w:styleId="Style38">
    <w:name w:val="Footer"/>
    <w:basedOn w:val="Style37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68489" TargetMode="External"/><Relationship Id="rId3" Type="http://schemas.openxmlformats.org/officeDocument/2006/relationships/hyperlink" Target="https://urait.ru/bcode/470255" TargetMode="External"/><Relationship Id="rId4" Type="http://schemas.openxmlformats.org/officeDocument/2006/relationships/hyperlink" Target="https://urait.ru/bcode/468871" TargetMode="External"/><Relationship Id="rId5" Type="http://schemas.openxmlformats.org/officeDocument/2006/relationships/hyperlink" Target="https://urait.ru/bcode/477188" TargetMode="External"/><Relationship Id="rId6" Type="http://schemas.openxmlformats.org/officeDocument/2006/relationships/hyperlink" Target="https://urait.ru/bcode/474896" TargetMode="External"/><Relationship Id="rId7" Type="http://schemas.openxmlformats.org/officeDocument/2006/relationships/hyperlink" Target="https://urait.ru/bcode/476174" TargetMode="External"/><Relationship Id="rId8" Type="http://schemas.openxmlformats.org/officeDocument/2006/relationships/hyperlink" Target="https://urait.ru/bcode/476834" TargetMode="External"/><Relationship Id="rId9" Type="http://schemas.openxmlformats.org/officeDocument/2006/relationships/hyperlink" Target="http://continent-online.com/" TargetMode="External"/><Relationship Id="rId10" Type="http://schemas.openxmlformats.org/officeDocument/2006/relationships/hyperlink" Target="https://uk.westlaw.com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s://www.garant.ru/" TargetMode="External"/><Relationship Id="rId13" Type="http://schemas.openxmlformats.org/officeDocument/2006/relationships/hyperlink" Target="https://apps.webofknowledge.com/" TargetMode="External"/><Relationship Id="rId14" Type="http://schemas.openxmlformats.org/officeDocument/2006/relationships/hyperlink" Target="https://www.scopus.com/" TargetMode="External"/><Relationship Id="rId15" Type="http://schemas.openxmlformats.org/officeDocument/2006/relationships/hyperlink" Target="http://web.a.ebscohost.com/" TargetMode="External"/><Relationship Id="rId16" Type="http://schemas.openxmlformats.org/officeDocument/2006/relationships/hyperlink" Target="https://&#1085;&#1101;&#1073;.&#1088;&#1092;" TargetMode="External"/><Relationship Id="rId17" Type="http://schemas.openxmlformats.org/officeDocument/2006/relationships/hyperlink" Target="https://rusneb.ru/" TargetMode="External"/><Relationship Id="rId18" Type="http://schemas.openxmlformats.org/officeDocument/2006/relationships/hyperlink" Target="https://www.prlib.ru/" TargetMode="External"/><Relationship Id="rId19" Type="http://schemas.openxmlformats.org/officeDocument/2006/relationships/hyperlink" Target="http://elibrary.ru/" TargetMode="External"/><Relationship Id="rId20" Type="http://schemas.openxmlformats.org/officeDocument/2006/relationships/hyperlink" Target="http://web.a.ebscohost.com/" TargetMode="External"/><Relationship Id="rId21" Type="http://schemas.openxmlformats.org/officeDocument/2006/relationships/hyperlink" Target="http://biblio.litres.ru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book.ru/" TargetMode="External"/><Relationship Id="rId24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" TargetMode="External"/><Relationship Id="rId26" Type="http://schemas.openxmlformats.org/officeDocument/2006/relationships/hyperlink" Target="https://zakupki.gov.ru/223/contract/public/contract/view/general-information.html?id=7031110" TargetMode="Externa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Application>LibreOffice/6.4.7.2$Windows_X86_64 LibreOffice_project/639b8ac485750d5696d7590a72ef1b496725cfb5</Application>
  <Pages>36</Pages>
  <Words>6994</Words>
  <Characters>49339</Characters>
  <CharactersWithSpaces>55882</CharactersWithSpaces>
  <Paragraphs>676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2021-06-26T08:43:00Z</cp:lastPrinted>
  <dcterms:modified xsi:type="dcterms:W3CDTF">2023-06-08T19:55:34Z</dcterms:modified>
  <cp:revision>348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